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2" w:rsidRPr="007B0CB2" w:rsidRDefault="007B0CB2" w:rsidP="007B0CB2">
      <w:pPr>
        <w:pStyle w:val="Heading1"/>
        <w:spacing w:before="160" w:after="0"/>
        <w:rPr>
          <w:color w:val="000000"/>
          <w:sz w:val="24"/>
          <w:szCs w:val="24"/>
        </w:rPr>
      </w:pPr>
      <w:r w:rsidRPr="007B0CB2">
        <w:rPr>
          <w:sz w:val="24"/>
          <w:szCs w:val="24"/>
        </w:rPr>
        <w:t xml:space="preserve">Sample 1: formatting Abstract </w:t>
      </w:r>
    </w:p>
    <w:p w:rsidR="007B0CB2" w:rsidRPr="007B0CB2" w:rsidRDefault="007B0CB2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b/>
          <w:bCs/>
          <w:szCs w:val="24"/>
        </w:rPr>
      </w:pPr>
      <w:r>
        <w:rPr>
          <w:rFonts w:ascii="MyriadPro-BoldCond" w:hAnsi="MyriadPro-BoldCond" w:cs="MyriadPro-BoldCond"/>
          <w:b/>
          <w:bCs/>
          <w:szCs w:val="24"/>
        </w:rPr>
        <w:t>T</w:t>
      </w:r>
      <w:r w:rsidRPr="007B0CB2">
        <w:rPr>
          <w:rFonts w:ascii="MyriadPro-BoldCond" w:hAnsi="MyriadPro-BoldCond" w:cs="MyriadPro-BoldCond"/>
          <w:b/>
          <w:bCs/>
          <w:szCs w:val="24"/>
        </w:rPr>
        <w:t>ough biodegradable hydrogel scaffolds prepared by stereolithography</w:t>
      </w:r>
    </w:p>
    <w:p w:rsidR="007B0CB2" w:rsidRPr="007B0CB2" w:rsidRDefault="007B0CB2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szCs w:val="24"/>
        </w:rPr>
      </w:pPr>
      <w:r w:rsidRPr="007B0CB2">
        <w:rPr>
          <w:rFonts w:ascii="MyriadPro-BoldCond" w:hAnsi="MyriadPro-BoldCond" w:cs="MyriadPro-BoldCond"/>
          <w:szCs w:val="24"/>
          <w:u w:val="single"/>
        </w:rPr>
        <w:t>Bas Van Bochove</w:t>
      </w:r>
      <w:r w:rsidRPr="007B0CB2">
        <w:rPr>
          <w:rFonts w:ascii="MyriadPro-BoldCond" w:hAnsi="MyriadPro-BoldCond" w:cs="MyriadPro-BoldCond"/>
          <w:szCs w:val="24"/>
          <w:vertAlign w:val="superscript"/>
        </w:rPr>
        <w:t>1</w:t>
      </w:r>
      <w:r w:rsidRPr="007B0CB2">
        <w:rPr>
          <w:rFonts w:ascii="MyriadPro-BoldCond" w:hAnsi="MyriadPro-BoldCond" w:cs="MyriadPro-BoldCond"/>
          <w:szCs w:val="24"/>
        </w:rPr>
        <w:t>, Erwin Zant</w:t>
      </w:r>
      <w:r w:rsidRPr="007B0CB2">
        <w:rPr>
          <w:rFonts w:ascii="MyriadPro-BoldCond" w:hAnsi="MyriadPro-BoldCond" w:cs="MyriadPro-BoldCond"/>
          <w:szCs w:val="24"/>
          <w:vertAlign w:val="superscript"/>
        </w:rPr>
        <w:t>1</w:t>
      </w:r>
      <w:r w:rsidRPr="007B0CB2">
        <w:rPr>
          <w:rFonts w:ascii="MyriadPro-BoldCond" w:hAnsi="MyriadPro-BoldCond" w:cs="MyriadPro-BoldCond"/>
          <w:szCs w:val="24"/>
        </w:rPr>
        <w:t>, Dirk W Grijpma</w:t>
      </w:r>
      <w:r w:rsidRPr="007B0CB2">
        <w:rPr>
          <w:rFonts w:ascii="MyriadPro-BoldCond" w:hAnsi="MyriadPro-BoldCond" w:cs="MyriadPro-BoldCond"/>
          <w:szCs w:val="24"/>
          <w:vertAlign w:val="superscript"/>
        </w:rPr>
        <w:t>1,2</w:t>
      </w:r>
    </w:p>
    <w:p w:rsidR="007B0CB2" w:rsidRPr="007B0CB2" w:rsidRDefault="007B0CB2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szCs w:val="24"/>
        </w:rPr>
      </w:pPr>
      <w:r w:rsidRPr="007B0CB2">
        <w:rPr>
          <w:rFonts w:ascii="MyriadPro-BoldCond" w:hAnsi="MyriadPro-BoldCond" w:cs="MyriadPro-BoldCond"/>
          <w:szCs w:val="24"/>
          <w:vertAlign w:val="superscript"/>
        </w:rPr>
        <w:t>1</w:t>
      </w:r>
      <w:r w:rsidRPr="007B0CB2">
        <w:rPr>
          <w:rFonts w:ascii="MyriadPro-BoldCond" w:hAnsi="MyriadPro-BoldCond" w:cs="MyriadPro-BoldCond"/>
          <w:szCs w:val="24"/>
        </w:rPr>
        <w:t>Department of Biomaterials Science and Technology, MIRA Institute for Biomedical Technology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 xml:space="preserve">and Technical Medicine, University of Twente, Enschede, Netherlands; </w:t>
      </w:r>
      <w:r w:rsidRPr="007B0CB2">
        <w:rPr>
          <w:rFonts w:ascii="MyriadPro-BoldCond" w:hAnsi="MyriadPro-BoldCond" w:cs="MyriadPro-BoldCond"/>
          <w:szCs w:val="24"/>
          <w:vertAlign w:val="superscript"/>
        </w:rPr>
        <w:t>2</w:t>
      </w:r>
      <w:r w:rsidRPr="007B0CB2">
        <w:rPr>
          <w:rFonts w:ascii="MyriadPro-BoldCond" w:hAnsi="MyriadPro-BoldCond" w:cs="MyriadPro-BoldCond"/>
          <w:szCs w:val="24"/>
        </w:rPr>
        <w:t>Department of Biomedical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Engineering, University of Groningen, University Medical Centre Groningen, W.J. Kolff Institute,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Groningen, Netherlands</w:t>
      </w:r>
    </w:p>
    <w:p w:rsidR="007B0CB2" w:rsidRPr="007B0CB2" w:rsidRDefault="007B0CB2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szCs w:val="24"/>
        </w:rPr>
      </w:pPr>
      <w:r w:rsidRPr="007B0CB2">
        <w:rPr>
          <w:rFonts w:ascii="MyriadPro-BoldCond" w:hAnsi="MyriadPro-BoldCond" w:cs="MyriadPro-BoldCond"/>
          <w:b/>
          <w:bCs/>
          <w:szCs w:val="24"/>
        </w:rPr>
        <w:t xml:space="preserve">Introduction: </w:t>
      </w:r>
      <w:r w:rsidRPr="007B0CB2">
        <w:rPr>
          <w:rFonts w:ascii="MyriadPro-BoldCond" w:hAnsi="MyriadPro-BoldCond" w:cs="MyriadPro-BoldCond"/>
          <w:szCs w:val="24"/>
        </w:rPr>
        <w:t>Combinatorial chemistry allows for simultaneous preparation of a large number of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different synthetic polymeric materials. Using mixtures of poly(trimethylene carbonate) (PTMC)-,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poly(D,L-lactide) (PDLLA)-, poly(ethylene glycol) (PEG)- and poly(􀀀-caprolactone) (PCL)-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dimethacrylate (dMA) functionalized macromers we prepared 255 different networks with widely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differing properties at the same time. Of these networks, several hydrogels with high water-uptake,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excellent mechanical properties and very good cell adhesion and proliferation were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identified[1]. Stereolithography (SLA) is a rapid-prototyping technique that allows the manufacturing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of designed 3D structures using photo-crosslinkable macromers.Here we prepared mixed-macromer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hydrogel network films with excellent mechanical properties as well as designed hydrogel scaffolds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by SLA.</w:t>
      </w:r>
    </w:p>
    <w:p w:rsidR="007B0CB2" w:rsidRPr="007B0CB2" w:rsidRDefault="007B0CB2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szCs w:val="24"/>
        </w:rPr>
      </w:pPr>
      <w:r>
        <w:rPr>
          <w:rFonts w:ascii="MyriadPro-BoldCond" w:hAnsi="MyriadPro-BoldCond" w:cs="MyriadPro-BoldCond"/>
          <w:b/>
          <w:bCs/>
          <w:szCs w:val="24"/>
        </w:rPr>
        <w:t>M</w:t>
      </w:r>
      <w:r w:rsidRPr="007B0CB2">
        <w:rPr>
          <w:rFonts w:ascii="MyriadPro-BoldCond" w:hAnsi="MyriadPro-BoldCond" w:cs="MyriadPro-BoldCond"/>
          <w:b/>
          <w:bCs/>
          <w:szCs w:val="24"/>
        </w:rPr>
        <w:t xml:space="preserve">aterials and methods: </w:t>
      </w:r>
      <w:r w:rsidRPr="007B0CB2">
        <w:rPr>
          <w:rFonts w:ascii="MyriadPro-BoldCond" w:hAnsi="MyriadPro-BoldCond" w:cs="MyriadPro-BoldCond"/>
          <w:szCs w:val="24"/>
        </w:rPr>
        <w:t>Linear TMC- or DLLA- oligomers (molar mass 4 or 10 kg/mol) were prepared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by ring-opening polymerization of TMC- or DLLA monomers. dMA-functionalized TMC-, DLLA- and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PEG macromers were prepared by functionalization of their respective oligomers with methacrylic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anhydride.For mechanical testing, equal amounts of PTMC-dMA 4k, PDLLA-dMA 4k, PEG-dMA 4k,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PTMC-dMA 10k and PEG-dMA 10k were dissolved in propylene carbonate (PC) containing 1 wt%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Irgacure 2959 photoinitiator. Specimens of 5mm in height and 5mm in diameter and network films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were prepared by casting, followed by photo-crosslinking, extraction and drying. Prior to mechanical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testing, the specimens were equilibrated in water for 48h.For SLA, equal amounts of PTMC-dMA 4k,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PDLLA-dMA 4k, PEG-dMA 4k, PTMC-dMA 10k and PEG-dMA 10k were dissolved in PC containing 5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wt% TPO-L photoinitiator and 0.15 wt% Orasol Orange dye. After building, the scaffolds were extracted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and dried.</w:t>
      </w:r>
    </w:p>
    <w:p w:rsidR="007B0CB2" w:rsidRDefault="007B0CB2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szCs w:val="24"/>
        </w:rPr>
      </w:pPr>
      <w:r>
        <w:rPr>
          <w:rFonts w:ascii="MyriadPro-BoldCond" w:hAnsi="MyriadPro-BoldCond" w:cs="MyriadPro-BoldCond"/>
          <w:b/>
          <w:bCs/>
          <w:szCs w:val="24"/>
        </w:rPr>
        <w:t>R</w:t>
      </w:r>
      <w:r w:rsidRPr="007B0CB2">
        <w:rPr>
          <w:rFonts w:ascii="MyriadPro-BoldCond" w:hAnsi="MyriadPro-BoldCond" w:cs="MyriadPro-BoldCond"/>
          <w:b/>
          <w:bCs/>
          <w:szCs w:val="24"/>
        </w:rPr>
        <w:t>esults</w:t>
      </w:r>
      <w:bookmarkStart w:id="0" w:name="_GoBack"/>
      <w:bookmarkEnd w:id="0"/>
      <w:r w:rsidRPr="007B0CB2">
        <w:rPr>
          <w:rFonts w:ascii="MyriadPro-BoldCond" w:hAnsi="MyriadPro-BoldCond" w:cs="MyriadPro-BoldCond"/>
          <w:b/>
          <w:bCs/>
          <w:szCs w:val="24"/>
        </w:rPr>
        <w:t xml:space="preserve">: </w:t>
      </w:r>
      <w:r w:rsidRPr="007B0CB2">
        <w:rPr>
          <w:rFonts w:ascii="MyriadPro-BoldCond" w:hAnsi="MyriadPro-BoldCond" w:cs="MyriadPro-BoldCond"/>
          <w:szCs w:val="24"/>
        </w:rPr>
        <w:t>The water uptake of the photo-crosslinked networks was 197 ± 18 wt%.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The water-swollen hydrogels showed excellent compressive properties and did not fail during the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compression test, the compressive modulus was 0.7 MPa. Interestingly, the hydrogels obtained their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original dimensions after testing when placed in water. Furthermore, the hydrogels showed very good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tensile properties: the tensile modulus was 1.27 MPa, the maximum tensile strength 0.72 MPa and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the elongation at break 186%. These values are extraordinarily high for synthetic hydrogel networks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with such a high water content.We also prepared designed mixed-macromer hydrogel scaffolds by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SLA. See Figure 1. The scaffolds were prepared with very high control over the pore-size, porosity and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architecture.</w:t>
      </w:r>
    </w:p>
    <w:p w:rsidR="007B0CB2" w:rsidRPr="007B0CB2" w:rsidRDefault="002945D6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szCs w:val="24"/>
        </w:rPr>
      </w:pPr>
      <w:r>
        <w:rPr>
          <w:rFonts w:ascii="MyriadPro-BoldCond" w:hAnsi="MyriadPro-BoldCond" w:cs="MyriadPro-BoldCond"/>
          <w:noProof/>
          <w:szCs w:val="24"/>
        </w:rPr>
        <w:drawing>
          <wp:inline distT="0" distB="0" distL="0" distR="0">
            <wp:extent cx="1499870" cy="1636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B2" w:rsidRPr="007B0CB2" w:rsidRDefault="007B0CB2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i/>
          <w:iCs/>
          <w:szCs w:val="24"/>
        </w:rPr>
      </w:pPr>
      <w:r w:rsidRPr="007B0CB2">
        <w:rPr>
          <w:rFonts w:ascii="MyriadPro-BoldCond" w:hAnsi="MyriadPro-BoldCond" w:cs="MyriadPro-BoldCond"/>
          <w:i/>
          <w:iCs/>
          <w:szCs w:val="24"/>
        </w:rPr>
        <w:t>Figure 1. Porous hydrogel networks with designed pore structures</w:t>
      </w:r>
      <w:r>
        <w:rPr>
          <w:rFonts w:ascii="MyriadPro-BoldCond" w:hAnsi="MyriadPro-BoldCond" w:cs="MyriadPro-BoldCond"/>
          <w:i/>
          <w:iCs/>
          <w:szCs w:val="24"/>
        </w:rPr>
        <w:t xml:space="preserve"> </w:t>
      </w:r>
      <w:r w:rsidRPr="007B0CB2">
        <w:rPr>
          <w:rFonts w:ascii="MyriadPro-BoldCond" w:hAnsi="MyriadPro-BoldCond" w:cs="MyriadPro-BoldCond"/>
          <w:i/>
          <w:iCs/>
          <w:szCs w:val="24"/>
        </w:rPr>
        <w:t>prepared by stereolithography in the dry (left) and hydrated</w:t>
      </w:r>
      <w:r>
        <w:rPr>
          <w:rFonts w:ascii="MyriadPro-BoldCond" w:hAnsi="MyriadPro-BoldCond" w:cs="MyriadPro-BoldCond"/>
          <w:i/>
          <w:iCs/>
          <w:szCs w:val="24"/>
        </w:rPr>
        <w:t xml:space="preserve"> </w:t>
      </w:r>
      <w:r w:rsidRPr="007B0CB2">
        <w:rPr>
          <w:rFonts w:ascii="MyriadPro-BoldCond" w:hAnsi="MyriadPro-BoldCond" w:cs="MyriadPro-BoldCond"/>
          <w:i/>
          <w:iCs/>
          <w:szCs w:val="24"/>
        </w:rPr>
        <w:t>(right) state.</w:t>
      </w:r>
    </w:p>
    <w:p w:rsidR="007B0CB2" w:rsidRPr="007B0CB2" w:rsidRDefault="007B0CB2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szCs w:val="24"/>
        </w:rPr>
      </w:pPr>
      <w:r>
        <w:rPr>
          <w:rFonts w:ascii="MyriadPro-BoldCond" w:hAnsi="MyriadPro-BoldCond" w:cs="MyriadPro-BoldCond"/>
          <w:b/>
          <w:bCs/>
          <w:szCs w:val="24"/>
        </w:rPr>
        <w:t>C</w:t>
      </w:r>
      <w:r w:rsidRPr="007B0CB2">
        <w:rPr>
          <w:rFonts w:ascii="MyriadPro-BoldCond" w:hAnsi="MyriadPro-BoldCond" w:cs="MyriadPro-BoldCond"/>
          <w:b/>
          <w:bCs/>
          <w:szCs w:val="24"/>
        </w:rPr>
        <w:t xml:space="preserve">onclusions: </w:t>
      </w:r>
      <w:r w:rsidRPr="007B0CB2">
        <w:rPr>
          <w:rFonts w:ascii="MyriadPro-BoldCond" w:hAnsi="MyriadPro-BoldCond" w:cs="MyriadPro-BoldCond"/>
          <w:szCs w:val="24"/>
        </w:rPr>
        <w:t>Tough, synthetic photo-crosslinked mixedmacromer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hydrogels were prepared and their mechanical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properties were evaluated. The structures showed high water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uptake and had excellent mechanical properties. Porous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hydrogel structures could readily be built by SLA, allowing the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preparation of designed hydrogel scaffolds with extraordinary</w:t>
      </w:r>
      <w:r>
        <w:rPr>
          <w:rFonts w:ascii="MyriadPro-BoldCond" w:hAnsi="MyriadPro-BoldCond" w:cs="MyriadPro-BoldCond"/>
          <w:szCs w:val="24"/>
        </w:rPr>
        <w:t xml:space="preserve"> </w:t>
      </w:r>
      <w:r w:rsidRPr="007B0CB2">
        <w:rPr>
          <w:rFonts w:ascii="MyriadPro-BoldCond" w:hAnsi="MyriadPro-BoldCond" w:cs="MyriadPro-BoldCond"/>
          <w:szCs w:val="24"/>
        </w:rPr>
        <w:t>properties for biomedical applications and tissue engineering.</w:t>
      </w:r>
    </w:p>
    <w:p w:rsidR="007B0CB2" w:rsidRPr="007B0CB2" w:rsidRDefault="007B0CB2" w:rsidP="007B0CB2">
      <w:pPr>
        <w:widowControl w:val="0"/>
        <w:autoSpaceDE w:val="0"/>
        <w:autoSpaceDN w:val="0"/>
        <w:adjustRightInd w:val="0"/>
        <w:spacing w:before="160"/>
        <w:rPr>
          <w:rFonts w:ascii="MyriadPro-BoldCond" w:hAnsi="MyriadPro-BoldCond" w:cs="MyriadPro-BoldCond"/>
          <w:i/>
          <w:iCs/>
          <w:szCs w:val="24"/>
        </w:rPr>
      </w:pPr>
      <w:r w:rsidRPr="007B0CB2">
        <w:rPr>
          <w:rFonts w:ascii="MyriadPro-BoldCond" w:hAnsi="MyriadPro-BoldCond" w:cs="MyriadPro-BoldCond"/>
          <w:i/>
          <w:iCs/>
          <w:szCs w:val="24"/>
        </w:rPr>
        <w:t>This work was supported by a grant from the Dutch government to the Netherlands Institute for</w:t>
      </w:r>
      <w:r>
        <w:rPr>
          <w:rFonts w:ascii="MyriadPro-BoldCond" w:hAnsi="MyriadPro-BoldCond" w:cs="MyriadPro-BoldCond"/>
          <w:i/>
          <w:iCs/>
          <w:szCs w:val="24"/>
        </w:rPr>
        <w:t xml:space="preserve"> </w:t>
      </w:r>
      <w:r w:rsidRPr="007B0CB2">
        <w:rPr>
          <w:rFonts w:ascii="MyriadPro-BoldCond" w:hAnsi="MyriadPro-BoldCond" w:cs="MyriadPro-BoldCond"/>
          <w:i/>
          <w:iCs/>
          <w:szCs w:val="24"/>
        </w:rPr>
        <w:t>Regenerative Medicine (NIRM, Grant No. FES0908).</w:t>
      </w:r>
    </w:p>
    <w:p w:rsidR="007665FD" w:rsidRPr="007B0CB2" w:rsidRDefault="007665FD" w:rsidP="007B0CB2">
      <w:pPr>
        <w:spacing w:before="160"/>
        <w:rPr>
          <w:szCs w:val="24"/>
        </w:rPr>
      </w:pPr>
    </w:p>
    <w:sectPr w:rsidR="007665FD" w:rsidRPr="007B0CB2" w:rsidSect="007B0C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FB"/>
    <w:rsid w:val="002945D6"/>
    <w:rsid w:val="007665FD"/>
    <w:rsid w:val="007B0C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color w:val="681818"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  <w:rPr>
      <w:rFonts w:ascii="Verdana" w:hAnsi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color w:val="681818"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  <w:rPr>
      <w:rFonts w:ascii="Verdana" w:hAnsi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Abstract </vt:lpstr>
    </vt:vector>
  </TitlesOfParts>
  <Company>RC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 </dc:title>
  <dc:subject/>
  <dc:creator>Robert Colarusso</dc:creator>
  <cp:keywords/>
  <cp:lastModifiedBy>Robert Colarusso</cp:lastModifiedBy>
  <cp:revision>2</cp:revision>
  <dcterms:created xsi:type="dcterms:W3CDTF">2020-08-10T18:51:00Z</dcterms:created>
  <dcterms:modified xsi:type="dcterms:W3CDTF">2020-08-10T18:51:00Z</dcterms:modified>
</cp:coreProperties>
</file>